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9942275747f4631"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28006</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KOPRIVNIČKI BREGI</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23</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XII 2025.</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1.341.826,88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1.979.865,66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147,6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991.814,22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1.265.637,52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350.012,66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714.228,14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204,1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288.095,58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853.110,15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296,1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288.095,58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853.110,15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296,1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3.850,36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3.850,36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138.882,01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 razdoblju od 1. siječnja do 31. prosinca 2025. godine prihodi poslovanja ostvareni su u iznosu od 1.979.865,66 eura.  Najznačajnije povećanje prihoda poslovanja ostvareno je od kapitalnih pomoći temeljem prijenosa EU sredstava. Najznačajnije smanjenje prihoda poslovanja bilježi se na prihodima od komunalnog doprinosa na što Općina ne može utjecati.  Rashodi poslovanja u razdoblju od 1. siječnja do 31. prosinca 2025. godine ostvareni su u iznosu od 1.265.637,52 eura. Najznačajnije povećanje rashoda poslovanja bilježi se na subvencijama poljoprivrednicima sukladno zaprimljenim zahtjevima poljoprivrednika za umjetno osjemenjivanje goveda. Najznačajnije smanjenje bilježi se na pristojbama i naknadama.  U navedenom razdoblju nema ostvarenih prihoda od prodaje nefinancijske imovine, dok su rashodi za nabavu nefinancijske imovine ostvareni u iznosu od 853.110,15 eura.  U razdoblju od 1. siječnja do 31. prosinca 2025. godine ostvaren je višak poslovanja u iznosu od 714.228,14 eura, manjak prihoda od nefinancijske imovine u iznosu od 853.110,15 eura, slijedom čega je na kraju izvještajnog razdoblja ostvaren ukupan manjak prihoda i primitaka u iznosu od 138.882,01 eura. Obzirom da je u 2025. godinu prenesen višak prihoda poslovanja iz 2024. godine u iznosu od 114.921,55 eura kojim se podmirio manjak, rezultat na kraju 2025. godine je manjak u iznosu od 23.960,46 eura. Navedena situacija proizlazi iz razloga što je Općina Koprivnički Bregi u 2025. godini financirala EU projekte iz vlastitih sredstava za koje će sredstva primiti u 2026. godini nakon svih odrađenih kontrola. </w:t>
      </w:r>
    </w:p>
    <w:p>
      <w:r>
        <w:br/>
      </w:r>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47.734,49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dospjelih obveza na kraju izvještajnog razdoblja iznosi 47.734,49 eura. Navedene obveze se odnose na jedan račun koji je stigao nakon isteka roka dospjeća, a koji se odnosi na sufinanciranje djece u vrtiću dok se ostatak odnosi na račun za izgradnju pješačko- biciklističke staze u Glogovcu. Zbog nedostatka sredstava, navedeni račun podmirit će se početkom slijedeće godine. </w:t>
      </w:r>
    </w:p>
    <w:p/>
    <w:p>
      <w:pPr>
        <w:jc w:val="center"/>
        <w:pStyle w:val="Normal"/>
        <w:spacing w:line="240" w:lineRule="auto"/>
        <w:keepNext/>
      </w:pPr>
      <w:r>
        <w:rPr>
          <w:sz w:val="28"/>
          <w:rFonts w:ascii="Times New Roman" w:hAnsi="Times New Roman"/>
        </w:rPr>
        <w:t xml:space="preserve">Bilješka 3.</w:t>
      </w:r>
    </w:p>
    <w:p>
      <w:pPr>
        <w:jc w:val="both"/>
        <w:pStyle w:val="Normal"/>
        <w:spacing w:line="240" w:lineRule="auto"/>
      </w:pPr>
      <w:r>
        <w:rPr>
          <w:b/>
          <w:sz w:val="24"/>
          <w:rFonts w:ascii="Times New Roman" w:hAnsi="Times New Roman"/>
        </w:rPr>
        <w:t xml:space="preserve">Unutargrupne transakcije koje su u izvještajima eliminirane</w:t>
      </w:r>
    </w:p>
    <w:p>
      <w:r>
        <w:t xml:space="preserve">Općina Koprivnički Bregi nema proračunskog korisnika stoga nema unutargrupnih transakcija koje su u izvještajima eliminirane.</w:t>
      </w:r>
    </w:p>
    <w:p/>
    <w:p>
      <w:pPr>
        <w:jc w:val="center"/>
        <w:pStyle w:val="Normal"/>
        <w:spacing w:line="240" w:lineRule="auto"/>
        <w:keepNext/>
      </w:pPr>
      <w:r>
        <w:rPr>
          <w:sz w:val="28"/>
          <w:rFonts w:ascii="Times New Roman" w:hAnsi="Times New Roman"/>
        </w:rPr>
        <w:t xml:space="preserve">Bilješka 4.</w:t>
      </w:r>
    </w:p>
    <w:p>
      <w:pPr>
        <w:jc w:val="both"/>
        <w:pStyle w:val="Normal"/>
        <w:spacing w:line="240" w:lineRule="auto"/>
      </w:pPr>
      <w:r>
        <w:rPr>
          <w:b/>
          <w:sz w:val="24"/>
          <w:rFonts w:ascii="Times New Roman" w:hAnsi="Times New Roman"/>
        </w:rPr>
        <w:t xml:space="preserve">Manjak ili višak u poslovanju grupe i pregled strukture manjka/viška po proračunskim korisnicima </w:t>
      </w:r>
    </w:p>
    <w:p>
      <w:r>
        <w:t xml:space="preserve">Općina Koprivnički Bregi nema proračunskog korisnika.</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17a9085dd6d24384" /></Relationships>
</file>